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宋体" w:eastAsia="黑体" w:cs="宋体"/>
          <w:kern w:val="0"/>
          <w:sz w:val="30"/>
          <w:szCs w:val="30"/>
        </w:rPr>
      </w:pPr>
    </w:p>
    <w:p>
      <w:pPr>
        <w:widowControl/>
        <w:spacing w:line="360" w:lineRule="auto"/>
        <w:jc w:val="center"/>
        <w:rPr>
          <w:rFonts w:ascii="黑体" w:hAnsi="华文中宋" w:eastAsia="黑体" w:cs="宋体"/>
          <w:kern w:val="0"/>
          <w:sz w:val="30"/>
          <w:szCs w:val="30"/>
        </w:rPr>
      </w:pPr>
      <w:r>
        <w:rPr>
          <w:rFonts w:hint="eastAsia" w:ascii="宋体" w:hAnsi="宋体" w:eastAsia="宋体" w:cs="Times New Roman"/>
          <w:b/>
          <w:kern w:val="0"/>
          <w:sz w:val="44"/>
          <w:szCs w:val="44"/>
          <w:lang w:val="en-US" w:eastAsia="zh-CN" w:bidi="ar-SA"/>
        </w:rPr>
        <w:t>《综合实践考核》考试大纲</w:t>
      </w:r>
    </w:p>
    <w:p>
      <w:pPr>
        <w:widowControl/>
        <w:spacing w:line="360" w:lineRule="auto"/>
        <w:jc w:val="center"/>
        <w:rPr>
          <w:rFonts w:ascii="黑体" w:hAnsi="华文中宋" w:eastAsia="黑体" w:cs="宋体"/>
          <w:color w:val="FF0000"/>
          <w:kern w:val="0"/>
          <w:sz w:val="30"/>
          <w:szCs w:val="30"/>
        </w:rPr>
      </w:pPr>
    </w:p>
    <w:p>
      <w:pPr>
        <w:pStyle w:val="4"/>
        <w:widowControl/>
        <w:spacing w:before="0" w:beforeLines="0" w:after="0" w:afterLines="0" w:line="360" w:lineRule="auto"/>
        <w:jc w:val="center"/>
        <w:rPr>
          <w:rFonts w:hint="eastAsia" w:ascii="宋体" w:hAnsi="宋体" w:cs="Times New Roman"/>
          <w:b/>
          <w:color w:val="000000"/>
          <w:kern w:val="2"/>
          <w:sz w:val="32"/>
          <w:szCs w:val="15"/>
          <w:lang w:val="en-US" w:eastAsia="zh-CN"/>
        </w:rPr>
      </w:pPr>
      <w:r>
        <w:rPr>
          <w:rFonts w:hint="eastAsia" w:ascii="宋体" w:hAnsi="宋体" w:cs="Times New Roman"/>
          <w:b/>
          <w:color w:val="000000"/>
          <w:kern w:val="2"/>
          <w:sz w:val="32"/>
          <w:szCs w:val="15"/>
          <w:lang w:val="en-US" w:eastAsia="zh-CN"/>
        </w:rPr>
        <w:t>专业代码：101001         课程编号：11259</w:t>
      </w:r>
    </w:p>
    <w:p>
      <w:pPr>
        <w:adjustRightInd w:val="0"/>
        <w:snapToGrid w:val="0"/>
        <w:spacing w:line="360" w:lineRule="auto"/>
        <w:rPr>
          <w:rFonts w:ascii="宋体" w:hAnsi="宋体" w:eastAsia="宋体" w:cs="宋体"/>
          <w:sz w:val="24"/>
          <w:szCs w:val="24"/>
        </w:rPr>
      </w:pPr>
      <w:r>
        <w:rPr>
          <w:rFonts w:ascii="宋体" w:hAnsi="宋体" w:eastAsia="宋体" w:cs="宋体"/>
          <w:sz w:val="24"/>
          <w:szCs w:val="24"/>
        </w:rPr>
        <w:pict>
          <v:line id="直接连接符 1" o:spid="_x0000_s1026" o:spt="20" style="position:absolute;left:0pt;margin-left:2.25pt;margin-top:6.05pt;height:0.05pt;width:446.1pt;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894wEAAIIDAAAOAAAAZHJzL2Uyb0RvYy54bWysU81uEzEQviPxDpbvZJOWhGqVTQ8p5VIg&#10;UssDTGxv1sL2WLaTTV6CF0DiBieOvfM2lMdg7PxA4YbYw8gef/P5m2+808utNWyjQtToGj4aDDlT&#10;TqDUbtXwd3fXzy44iwmcBINONXynIr+cPX0y7X2tzrBDI1VgROJi3fuGdyn5uqqi6JSFOECvHB22&#10;GCwk2oZVJQP0xG5NdTYcTqoeg/QBhYqRslf7Qz4r/G2rRHrbtlElZhpO2lKJocRljtVsCvUqgO+0&#10;OMiAf1BhQTu69ER1BQnYOui/qKwWASO2aSDQVti2WqjSA3UzGv7RzW0HXpVeyJzoTzbF/0cr3mwW&#10;gWlJs+PMgaURPXy8//7h849vnyg+fP3CRtmk3seasHO3CLlNsXW3/gbF+8gczjtwK1XE3u08MZSK&#10;6lFJ3kRPVy371ygJA+uExbFtG2ymJC/YtgxmdxqM2iYmKDmeTMbPX9D8BJ1NzsdZUQX1sdSHmF4p&#10;tCwvGm60y65BDZubmPbQIySnHV5rY8rkjWN9w88vRsNMbj35IJemFEc0WmZgLolhtZybwDaQ31H5&#10;DhoewQKunSzEnQL58rBOoM1+TZqNI+lHN/a+LlHuFiHrzHkadGnu8CjzS/p9X1C/fp3ZTwAAAP//&#10;AwBQSwMEFAAGAAgAAAAhANMlvI/bAAAABwEAAA8AAABkcnMvZG93bnJldi54bWxMjt1OwkAQhe9N&#10;fIfNmHgnWxpFqN0SJCGGyI3oAwzdoW3ozjbdBdq3d7jSy/OTc758ObhWXagPjWcD00kCirj0tuHK&#10;wM/35mkOKkRki61nMjBSgGVxf5djZv2Vv+iyj5WSEQ4ZGqhj7DKtQ1mTwzDxHbFkR987jCL7Stse&#10;rzLuWp0myUw7bFgeauxoXVN52p+dgXhKPj7fcTOu3HEbq8VYuu16Z8zjw7B6AxVpiH9luOELOhTC&#10;dPBntkG1Bp5fpCh2OgUl8XwxewV1uBkp6CLX//mLXwAAAP//AwBQSwECLQAUAAYACAAAACEAtoM4&#10;kv4AAADhAQAAEwAAAAAAAAAAAAAAAAAAAAAAW0NvbnRlbnRfVHlwZXNdLnhtbFBLAQItABQABgAI&#10;AAAAIQA4/SH/1gAAAJQBAAALAAAAAAAAAAAAAAAAAC8BAABfcmVscy8ucmVsc1BLAQItABQABgAI&#10;AAAAIQCVPh894wEAAIIDAAAOAAAAAAAAAAAAAAAAAC4CAABkcnMvZTJvRG9jLnhtbFBLAQItABQA&#10;BgAIAAAAIQDTJbyP2wAAAAcBAAAPAAAAAAAAAAAAAAAAAD0EAABkcnMvZG93bnJldi54bWxQSwUG&#10;AAAAAAQABADzAAAARQUAAAAA&#10;">
            <v:path arrowok="t"/>
            <v:fill focussize="0,0"/>
            <v:stroke weight="3pt" linestyle="thinThin"/>
            <v:imagedata o:title=""/>
            <o:lock v:ext="edit"/>
          </v:line>
        </w:pict>
      </w:r>
    </w:p>
    <w:p>
      <w:pPr>
        <w:ind w:firstLine="562" w:firstLineChars="200"/>
        <w:rPr>
          <w:rFonts w:ascii="楷体" w:hAnsi="楷体" w:eastAsia="楷体"/>
          <w:b/>
          <w:bCs/>
          <w:sz w:val="28"/>
          <w:szCs w:val="28"/>
        </w:rPr>
      </w:pPr>
      <w:r>
        <w:rPr>
          <w:rFonts w:hint="eastAsia" w:ascii="楷体" w:hAnsi="楷体" w:eastAsia="楷体"/>
          <w:b/>
          <w:bCs/>
          <w:sz w:val="28"/>
          <w:szCs w:val="28"/>
        </w:rPr>
        <w:t>一、综合实践考核目标</w:t>
      </w:r>
    </w:p>
    <w:p>
      <w:pPr>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.加深对</w:t>
      </w:r>
      <w:bookmarkStart w:id="0" w:name="_Hlk149724415"/>
      <w:r>
        <w:rPr>
          <w:rFonts w:hint="eastAsia" w:ascii="宋体" w:hAnsi="宋体" w:eastAsia="宋体"/>
          <w:sz w:val="24"/>
          <w:szCs w:val="24"/>
        </w:rPr>
        <w:t>医学检验技术专业相关</w:t>
      </w:r>
      <w:bookmarkEnd w:id="0"/>
      <w:r>
        <w:rPr>
          <w:rFonts w:hint="eastAsia" w:ascii="宋体" w:hAnsi="宋体" w:eastAsia="宋体"/>
          <w:sz w:val="24"/>
          <w:szCs w:val="24"/>
        </w:rPr>
        <w:t>基本理论和基本实验方</w:t>
      </w:r>
      <w:bookmarkStart w:id="13" w:name="_GoBack"/>
      <w:bookmarkEnd w:id="13"/>
      <w:r>
        <w:rPr>
          <w:rFonts w:hint="eastAsia" w:ascii="宋体" w:hAnsi="宋体" w:eastAsia="宋体"/>
          <w:sz w:val="24"/>
          <w:szCs w:val="24"/>
        </w:rPr>
        <w:t>法、技术的理解和掌握，更好的对所学知识和技能进行系统化的总结和深化。。</w:t>
      </w:r>
    </w:p>
    <w:p>
      <w:pPr>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.培养学生严谨的科学态度和思维能力以及独立分析问题和解决问题的能力。</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培养学生实事求是、严肃认真的科学态度和科学的学习方法，启迪思维、提升观察实践和创新能力。</w:t>
      </w:r>
    </w:p>
    <w:p>
      <w:pPr>
        <w:spacing w:line="360" w:lineRule="auto"/>
        <w:rPr>
          <w:rFonts w:ascii="宋体" w:hAnsi="宋体" w:eastAsia="宋体"/>
          <w:sz w:val="24"/>
          <w:szCs w:val="24"/>
        </w:rPr>
      </w:pPr>
    </w:p>
    <w:p>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二、实验考核方法</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实践涵盖了临床生物化学检验技术、临床</w:t>
      </w:r>
      <w:r>
        <w:rPr>
          <w:rFonts w:ascii="宋体" w:hAnsi="宋体" w:eastAsia="宋体"/>
          <w:sz w:val="24"/>
          <w:szCs w:val="24"/>
        </w:rPr>
        <w:t>微生物学</w:t>
      </w:r>
      <w:r>
        <w:rPr>
          <w:rFonts w:hint="eastAsia" w:ascii="宋体" w:hAnsi="宋体" w:eastAsia="宋体"/>
          <w:sz w:val="24"/>
          <w:szCs w:val="24"/>
        </w:rPr>
        <w:t>检验</w:t>
      </w:r>
      <w:r>
        <w:rPr>
          <w:rFonts w:ascii="宋体" w:hAnsi="宋体" w:eastAsia="宋体"/>
          <w:sz w:val="24"/>
          <w:szCs w:val="24"/>
        </w:rPr>
        <w:t>技术</w:t>
      </w:r>
      <w:r>
        <w:rPr>
          <w:rFonts w:hint="eastAsia" w:ascii="宋体" w:hAnsi="宋体" w:eastAsia="宋体"/>
          <w:sz w:val="24"/>
          <w:szCs w:val="24"/>
        </w:rPr>
        <w:t>、临床</w:t>
      </w:r>
      <w:r>
        <w:rPr>
          <w:rFonts w:ascii="宋体" w:hAnsi="宋体" w:eastAsia="宋体"/>
          <w:sz w:val="24"/>
          <w:szCs w:val="24"/>
        </w:rPr>
        <w:t>免疫学</w:t>
      </w:r>
      <w:r>
        <w:rPr>
          <w:rFonts w:hint="eastAsia" w:ascii="宋体" w:hAnsi="宋体" w:eastAsia="宋体"/>
          <w:sz w:val="24"/>
          <w:szCs w:val="24"/>
        </w:rPr>
        <w:t>检验</w:t>
      </w:r>
      <w:r>
        <w:rPr>
          <w:rFonts w:ascii="宋体" w:hAnsi="宋体" w:eastAsia="宋体"/>
          <w:sz w:val="24"/>
          <w:szCs w:val="24"/>
        </w:rPr>
        <w:t>技术</w:t>
      </w:r>
      <w:r>
        <w:rPr>
          <w:rFonts w:hint="eastAsia" w:ascii="宋体" w:hAnsi="宋体" w:eastAsia="宋体"/>
          <w:sz w:val="24"/>
          <w:szCs w:val="24"/>
        </w:rPr>
        <w:t>等医学检验技术专业课程的基本实验操作与技术,要求掌握实验操作步骤、实验数据计算、实验结果填报、实验报告撰写。</w:t>
      </w:r>
    </w:p>
    <w:p>
      <w:pPr>
        <w:spacing w:line="360" w:lineRule="auto"/>
        <w:ind w:firstLine="562" w:firstLineChars="200"/>
        <w:rPr>
          <w:rFonts w:ascii="楷体" w:hAnsi="楷体" w:eastAsia="楷体"/>
          <w:b/>
          <w:bCs/>
          <w:sz w:val="28"/>
          <w:szCs w:val="28"/>
        </w:rPr>
      </w:pPr>
      <w:r>
        <w:rPr>
          <w:rFonts w:hint="eastAsia" w:ascii="楷体" w:hAnsi="楷体" w:eastAsia="楷体"/>
          <w:b/>
          <w:bCs/>
          <w:sz w:val="28"/>
          <w:szCs w:val="28"/>
        </w:rPr>
        <w:t>三、评分细则：</w:t>
      </w:r>
    </w:p>
    <w:tbl>
      <w:tblPr>
        <w:tblStyle w:val="5"/>
        <w:tblW w:w="8520" w:type="dxa"/>
        <w:tblInd w:w="0" w:type="dxa"/>
        <w:tblLayout w:type="autofit"/>
        <w:tblCellMar>
          <w:top w:w="120" w:type="dxa"/>
          <w:left w:w="120" w:type="dxa"/>
          <w:bottom w:w="120" w:type="dxa"/>
          <w:right w:w="120" w:type="dxa"/>
        </w:tblCellMar>
      </w:tblPr>
      <w:tblGrid>
        <w:gridCol w:w="818"/>
        <w:gridCol w:w="6092"/>
        <w:gridCol w:w="1610"/>
      </w:tblGrid>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序号</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考查目标及评分细则</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满分值</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①实验目的明确。</w:t>
            </w:r>
          </w:p>
          <w:p>
            <w:pPr>
              <w:spacing w:line="360" w:lineRule="auto"/>
              <w:rPr>
                <w:rFonts w:ascii="宋体" w:hAnsi="宋体" w:eastAsia="宋体"/>
                <w:sz w:val="24"/>
                <w:szCs w:val="24"/>
              </w:rPr>
            </w:pPr>
            <w:r>
              <w:rPr>
                <w:rFonts w:hint="eastAsia" w:ascii="宋体" w:hAnsi="宋体" w:eastAsia="宋体"/>
                <w:sz w:val="24"/>
                <w:szCs w:val="24"/>
              </w:rPr>
              <w:t>②能够准确回答提问。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①实验操作基本正确；</w:t>
            </w:r>
          </w:p>
          <w:p>
            <w:pPr>
              <w:spacing w:line="360" w:lineRule="auto"/>
              <w:rPr>
                <w:rFonts w:ascii="宋体" w:hAnsi="宋体" w:eastAsia="宋体"/>
                <w:sz w:val="24"/>
                <w:szCs w:val="24"/>
              </w:rPr>
            </w:pPr>
            <w:r>
              <w:rPr>
                <w:rFonts w:hint="eastAsia" w:ascii="宋体" w:hAnsi="宋体" w:eastAsia="宋体"/>
                <w:sz w:val="24"/>
                <w:szCs w:val="24"/>
              </w:rPr>
              <w:t>②在操作过程中</w:t>
            </w:r>
            <w:r>
              <w:rPr>
                <w:rFonts w:ascii="宋体" w:hAnsi="宋体" w:eastAsia="宋体"/>
                <w:sz w:val="24"/>
                <w:szCs w:val="24"/>
              </w:rPr>
              <w:t>,</w:t>
            </w:r>
            <w:r>
              <w:rPr>
                <w:rFonts w:hint="eastAsia" w:ascii="宋体" w:hAnsi="宋体" w:eastAsia="宋体"/>
                <w:sz w:val="24"/>
                <w:szCs w:val="24"/>
              </w:rPr>
              <w:t>如遇到问题能够自己解决</w:t>
            </w:r>
            <w:r>
              <w:rPr>
                <w:rFonts w:ascii="宋体" w:hAnsi="宋体" w:eastAsia="宋体"/>
                <w:sz w:val="24"/>
                <w:szCs w:val="24"/>
              </w:rPr>
              <w:t>,</w:t>
            </w:r>
            <w:r>
              <w:rPr>
                <w:rFonts w:hint="eastAsia" w:ascii="宋体" w:hAnsi="宋体" w:eastAsia="宋体"/>
                <w:sz w:val="24"/>
                <w:szCs w:val="24"/>
              </w:rPr>
              <w:t>排除问题；</w:t>
            </w:r>
          </w:p>
          <w:p>
            <w:pPr>
              <w:spacing w:line="360" w:lineRule="auto"/>
              <w:rPr>
                <w:rFonts w:ascii="宋体" w:hAnsi="宋体" w:eastAsia="宋体"/>
                <w:sz w:val="24"/>
                <w:szCs w:val="24"/>
              </w:rPr>
            </w:pPr>
            <w:r>
              <w:rPr>
                <w:rFonts w:hint="eastAsia" w:ascii="宋体" w:hAnsi="宋体" w:eastAsia="宋体"/>
                <w:sz w:val="24"/>
                <w:szCs w:val="24"/>
              </w:rPr>
              <w:t>③操作中能够做到尽量减小各种实验误差；</w:t>
            </w:r>
          </w:p>
          <w:p>
            <w:pPr>
              <w:spacing w:line="360" w:lineRule="auto"/>
              <w:rPr>
                <w:rFonts w:ascii="宋体" w:hAnsi="宋体" w:eastAsia="宋体"/>
                <w:sz w:val="24"/>
                <w:szCs w:val="24"/>
              </w:rPr>
            </w:pPr>
            <w:r>
              <w:rPr>
                <w:rFonts w:hint="eastAsia" w:ascii="宋体" w:hAnsi="宋体" w:eastAsia="宋体"/>
                <w:sz w:val="24"/>
                <w:szCs w:val="24"/>
              </w:rPr>
              <w:t>④能够独立完成实验任务。</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40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3</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实验结果正确；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4</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实验结果报告表述正确。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5</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①实验报告书写完整规范；</w:t>
            </w:r>
          </w:p>
          <w:p>
            <w:pPr>
              <w:spacing w:line="360" w:lineRule="auto"/>
              <w:rPr>
                <w:rFonts w:ascii="宋体" w:hAnsi="宋体" w:eastAsia="宋体"/>
                <w:sz w:val="24"/>
                <w:szCs w:val="24"/>
              </w:rPr>
            </w:pPr>
            <w:r>
              <w:rPr>
                <w:rFonts w:hint="eastAsia" w:ascii="宋体" w:hAnsi="宋体" w:eastAsia="宋体"/>
                <w:sz w:val="24"/>
                <w:szCs w:val="24"/>
              </w:rPr>
              <w:t>②对实验结果的分析合理。</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分</w:t>
            </w:r>
          </w:p>
        </w:tc>
      </w:tr>
    </w:tbl>
    <w:p>
      <w:pPr>
        <w:spacing w:line="360" w:lineRule="auto"/>
        <w:rPr>
          <w:rFonts w:ascii="楷体" w:hAnsi="楷体" w:eastAsia="楷体"/>
          <w:sz w:val="24"/>
          <w:szCs w:val="24"/>
        </w:rPr>
      </w:pPr>
    </w:p>
    <w:p>
      <w:pPr>
        <w:spacing w:line="360" w:lineRule="auto"/>
        <w:rPr>
          <w:rFonts w:ascii="楷体" w:hAnsi="楷体" w:eastAsia="楷体"/>
          <w:b/>
          <w:bCs/>
          <w:sz w:val="28"/>
          <w:szCs w:val="28"/>
        </w:rPr>
      </w:pPr>
      <w:r>
        <w:rPr>
          <w:rFonts w:hint="eastAsia" w:ascii="楷体" w:hAnsi="楷体" w:eastAsia="楷体"/>
          <w:b/>
          <w:bCs/>
          <w:sz w:val="28"/>
          <w:szCs w:val="28"/>
        </w:rPr>
        <w:t>四、实践考核</w:t>
      </w:r>
    </w:p>
    <w:p>
      <w:pPr>
        <w:spacing w:line="360" w:lineRule="auto"/>
        <w:jc w:val="center"/>
        <w:rPr>
          <w:rFonts w:ascii="宋体" w:hAnsi="宋体" w:eastAsia="宋体"/>
          <w:b/>
          <w:bCs/>
          <w:sz w:val="24"/>
          <w:szCs w:val="24"/>
        </w:rPr>
      </w:pPr>
      <w:r>
        <w:rPr>
          <w:rFonts w:hint="eastAsia" w:ascii="宋体" w:hAnsi="宋体" w:eastAsia="宋体"/>
          <w:b/>
          <w:bCs/>
          <w:sz w:val="24"/>
          <w:szCs w:val="24"/>
        </w:rPr>
        <w:t>1.生物化学及生物化学检验</w:t>
      </w:r>
      <w:bookmarkStart w:id="1" w:name="环境卫生"/>
      <w:bookmarkEnd w:id="1"/>
      <w:r>
        <w:rPr>
          <w:rFonts w:hint="eastAsia" w:ascii="宋体" w:hAnsi="宋体" w:eastAsia="宋体"/>
          <w:b/>
          <w:bCs/>
          <w:sz w:val="24"/>
          <w:szCs w:val="24"/>
        </w:rPr>
        <w:t>（实践）</w:t>
      </w:r>
    </w:p>
    <w:p>
      <w:pPr>
        <w:spacing w:line="360" w:lineRule="auto"/>
        <w:rPr>
          <w:rFonts w:ascii="宋体" w:hAnsi="宋体" w:eastAsia="宋体"/>
          <w:sz w:val="24"/>
          <w:szCs w:val="24"/>
        </w:rPr>
      </w:pPr>
      <w:bookmarkStart w:id="2" w:name="_Hlk149728208"/>
      <w:bookmarkStart w:id="3" w:name="_Hlk149724885"/>
      <w:r>
        <w:rPr>
          <w:rFonts w:hint="eastAsia" w:ascii="宋体" w:hAnsi="宋体" w:eastAsia="宋体"/>
          <w:sz w:val="24"/>
          <w:szCs w:val="24"/>
        </w:rPr>
        <w:t>①</w:t>
      </w:r>
      <w:bookmarkEnd w:id="2"/>
      <w:r>
        <w:rPr>
          <w:rFonts w:hint="eastAsia" w:ascii="宋体" w:hAnsi="宋体" w:eastAsia="宋体"/>
          <w:sz w:val="24"/>
          <w:szCs w:val="24"/>
        </w:rPr>
        <w:t>教学参考书：</w:t>
      </w:r>
    </w:p>
    <w:bookmarkEnd w:id="3"/>
    <w:p>
      <w:pPr>
        <w:spacing w:line="360" w:lineRule="auto"/>
        <w:rPr>
          <w:rFonts w:ascii="宋体" w:hAnsi="宋体" w:eastAsia="宋体"/>
          <w:sz w:val="24"/>
          <w:szCs w:val="24"/>
        </w:rPr>
      </w:pPr>
      <w:r>
        <w:rPr>
          <w:rFonts w:hint="eastAsia" w:ascii="宋体" w:hAnsi="宋体" w:eastAsia="宋体"/>
          <w:sz w:val="24"/>
          <w:szCs w:val="24"/>
        </w:rPr>
        <w:t>倪培华，《临床生物化学检验技术实验指导》，人民卫生出版社，2016-07-01第1版，</w:t>
      </w:r>
    </w:p>
    <w:p>
      <w:pPr>
        <w:spacing w:line="360" w:lineRule="auto"/>
        <w:rPr>
          <w:rFonts w:ascii="宋体" w:hAnsi="宋体" w:eastAsia="宋体"/>
          <w:sz w:val="24"/>
          <w:szCs w:val="24"/>
        </w:rPr>
      </w:pPr>
      <w:bookmarkStart w:id="4" w:name="_Hlk149728256"/>
      <w:r>
        <w:rPr>
          <w:rFonts w:hint="eastAsia" w:ascii="宋体" w:hAnsi="宋体" w:eastAsia="宋体"/>
          <w:sz w:val="24"/>
          <w:szCs w:val="24"/>
        </w:rPr>
        <w:t>②</w:t>
      </w:r>
      <w:bookmarkEnd w:id="4"/>
      <w:r>
        <w:rPr>
          <w:rFonts w:hint="eastAsia" w:ascii="宋体" w:hAnsi="宋体" w:eastAsia="宋体"/>
          <w:sz w:val="24"/>
          <w:szCs w:val="24"/>
        </w:rPr>
        <w:t>实践考核内容：</w:t>
      </w:r>
    </w:p>
    <w:p>
      <w:pPr>
        <w:spacing w:line="360" w:lineRule="auto"/>
        <w:rPr>
          <w:rFonts w:ascii="宋体" w:hAnsi="宋体" w:eastAsia="宋体"/>
          <w:sz w:val="24"/>
          <w:szCs w:val="24"/>
        </w:rPr>
      </w:pPr>
      <w:r>
        <w:rPr>
          <w:rFonts w:hint="eastAsia" w:ascii="宋体" w:hAnsi="宋体" w:eastAsia="宋体"/>
          <w:sz w:val="24"/>
          <w:szCs w:val="24"/>
        </w:rPr>
        <w:t>【实验名称】重复性试验</w:t>
      </w:r>
    </w:p>
    <w:p>
      <w:pPr>
        <w:spacing w:line="360" w:lineRule="auto"/>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rPr>
        <w:t>实验类型</w:t>
      </w:r>
      <w:r>
        <w:rPr>
          <w:rFonts w:ascii="宋体" w:hAnsi="宋体" w:eastAsia="宋体"/>
          <w:sz w:val="24"/>
          <w:szCs w:val="24"/>
        </w:rPr>
        <w:t>】</w:t>
      </w:r>
      <w:r>
        <w:rPr>
          <w:rFonts w:hint="eastAsia" w:ascii="宋体" w:hAnsi="宋体" w:eastAsia="宋体"/>
          <w:sz w:val="24"/>
          <w:szCs w:val="24"/>
        </w:rPr>
        <w:t>应用</w:t>
      </w:r>
      <w:r>
        <w:rPr>
          <w:rFonts w:ascii="宋体" w:hAnsi="宋体" w:eastAsia="宋体"/>
          <w:sz w:val="24"/>
          <w:szCs w:val="24"/>
        </w:rPr>
        <w:t>型实验</w:t>
      </w:r>
    </w:p>
    <w:p>
      <w:pPr>
        <w:spacing w:line="360" w:lineRule="auto"/>
        <w:rPr>
          <w:rFonts w:ascii="宋体" w:hAnsi="宋体" w:eastAsia="宋体"/>
          <w:sz w:val="24"/>
          <w:szCs w:val="24"/>
        </w:rPr>
      </w:pPr>
      <w:r>
        <w:rPr>
          <w:rFonts w:hint="eastAsia" w:ascii="宋体" w:hAnsi="宋体" w:eastAsia="宋体"/>
          <w:sz w:val="24"/>
          <w:szCs w:val="24"/>
        </w:rPr>
        <w:t>【实验目标】</w:t>
      </w:r>
    </w:p>
    <w:p>
      <w:pPr>
        <w:spacing w:line="360" w:lineRule="auto"/>
        <w:rPr>
          <w:rFonts w:ascii="宋体" w:hAnsi="宋体" w:eastAsia="宋体"/>
          <w:sz w:val="24"/>
          <w:szCs w:val="24"/>
        </w:rPr>
      </w:pPr>
      <w:r>
        <w:rPr>
          <w:rFonts w:hint="eastAsia" w:ascii="宋体" w:hAnsi="宋体" w:eastAsia="宋体"/>
          <w:sz w:val="24"/>
          <w:szCs w:val="24"/>
        </w:rPr>
        <w:t>1.掌握临床生物化学检验方法学评价的主要手段</w:t>
      </w:r>
    </w:p>
    <w:p>
      <w:pPr>
        <w:spacing w:line="360" w:lineRule="auto"/>
        <w:rPr>
          <w:rFonts w:ascii="宋体" w:hAnsi="宋体" w:eastAsia="宋体"/>
          <w:sz w:val="24"/>
          <w:szCs w:val="24"/>
        </w:rPr>
      </w:pPr>
      <w:r>
        <w:rPr>
          <w:rFonts w:hint="eastAsia" w:ascii="宋体" w:hAnsi="宋体" w:eastAsia="宋体"/>
          <w:sz w:val="24"/>
          <w:szCs w:val="24"/>
        </w:rPr>
        <w:t>2.掌握重复性试验测定的方法和意义。</w:t>
      </w:r>
    </w:p>
    <w:p>
      <w:pPr>
        <w:spacing w:line="360" w:lineRule="auto"/>
        <w:rPr>
          <w:rFonts w:ascii="宋体" w:hAnsi="宋体" w:eastAsia="宋体"/>
          <w:sz w:val="24"/>
          <w:szCs w:val="24"/>
        </w:rPr>
      </w:pPr>
      <w:r>
        <w:rPr>
          <w:rFonts w:hint="eastAsia" w:ascii="宋体" w:hAnsi="宋体" w:eastAsia="宋体"/>
          <w:sz w:val="24"/>
          <w:szCs w:val="24"/>
        </w:rPr>
        <w:t>【实验内容】</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对同一标本（血糖）在相同条件下进行多次分析测定，掌握重复性试验测定的原理、设计思路、实验方法及目的意义。</w:t>
      </w:r>
    </w:p>
    <w:p>
      <w:pPr>
        <w:spacing w:line="360" w:lineRule="auto"/>
        <w:rPr>
          <w:rFonts w:ascii="宋体" w:hAnsi="宋体" w:eastAsia="宋体"/>
          <w:sz w:val="24"/>
          <w:szCs w:val="24"/>
        </w:rPr>
      </w:pPr>
    </w:p>
    <w:p>
      <w:pPr>
        <w:spacing w:line="360" w:lineRule="auto"/>
        <w:jc w:val="center"/>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w:t>
      </w:r>
      <w:r>
        <w:rPr>
          <w:rFonts w:hint="eastAsia" w:ascii="宋体" w:hAnsi="宋体" w:eastAsia="宋体"/>
          <w:b/>
          <w:bCs/>
          <w:sz w:val="24"/>
          <w:szCs w:val="24"/>
        </w:rPr>
        <w:t>临床检验基础（实践）</w:t>
      </w:r>
    </w:p>
    <w:p>
      <w:pPr>
        <w:spacing w:line="360" w:lineRule="auto"/>
        <w:rPr>
          <w:rFonts w:ascii="宋体" w:hAnsi="宋体" w:eastAsia="宋体"/>
          <w:sz w:val="24"/>
          <w:szCs w:val="24"/>
        </w:rPr>
      </w:pPr>
      <w:bookmarkStart w:id="5" w:name="_Hlk149724936"/>
      <w:r>
        <w:rPr>
          <w:rFonts w:hint="eastAsia" w:ascii="宋体" w:hAnsi="宋体" w:eastAsia="宋体"/>
          <w:sz w:val="24"/>
          <w:szCs w:val="24"/>
        </w:rPr>
        <w:t>①教学参考书：</w:t>
      </w:r>
    </w:p>
    <w:bookmarkEnd w:id="5"/>
    <w:p>
      <w:pPr>
        <w:spacing w:line="360" w:lineRule="auto"/>
        <w:rPr>
          <w:rFonts w:ascii="宋体" w:hAnsi="宋体" w:eastAsia="宋体"/>
          <w:sz w:val="24"/>
          <w:szCs w:val="24"/>
        </w:rPr>
      </w:pPr>
      <w:r>
        <w:rPr>
          <w:rFonts w:hint="eastAsia" w:ascii="宋体" w:hAnsi="宋体" w:eastAsia="宋体"/>
          <w:sz w:val="24"/>
          <w:szCs w:val="24"/>
        </w:rPr>
        <w:t>林东红,《临床基础检验学技术实验指导》，人民卫生出版社，2016年7月第1版</w:t>
      </w:r>
      <w:r>
        <w:rPr>
          <w:rFonts w:ascii="宋体" w:hAnsi="宋体" w:eastAsia="宋体"/>
          <w:sz w:val="24"/>
          <w:szCs w:val="24"/>
        </w:rPr>
        <w:t>。</w:t>
      </w:r>
    </w:p>
    <w:p>
      <w:pPr>
        <w:spacing w:line="360" w:lineRule="auto"/>
        <w:rPr>
          <w:rFonts w:ascii="宋体" w:hAnsi="宋体" w:eastAsia="宋体"/>
          <w:sz w:val="24"/>
          <w:szCs w:val="24"/>
        </w:rPr>
      </w:pPr>
      <w:bookmarkStart w:id="6" w:name="_Hlk149724969"/>
      <w:r>
        <w:rPr>
          <w:rFonts w:hint="eastAsia" w:ascii="宋体" w:hAnsi="宋体" w:eastAsia="宋体"/>
          <w:sz w:val="24"/>
          <w:szCs w:val="24"/>
        </w:rPr>
        <w:t>②实验考核内容：</w:t>
      </w:r>
    </w:p>
    <w:bookmarkEnd w:id="6"/>
    <w:p>
      <w:pPr>
        <w:spacing w:line="360" w:lineRule="auto"/>
        <w:rPr>
          <w:rFonts w:ascii="宋体" w:hAnsi="宋体" w:eastAsia="宋体"/>
          <w:sz w:val="24"/>
          <w:szCs w:val="24"/>
        </w:rPr>
      </w:pPr>
      <w:r>
        <w:rPr>
          <w:rFonts w:hint="eastAsia" w:ascii="宋体" w:hAnsi="宋体" w:eastAsia="宋体"/>
          <w:sz w:val="24"/>
          <w:szCs w:val="24"/>
        </w:rPr>
        <w:t>【实验名称】白细胞分类计数</w:t>
      </w:r>
    </w:p>
    <w:p>
      <w:pPr>
        <w:spacing w:line="360" w:lineRule="auto"/>
        <w:rPr>
          <w:rFonts w:ascii="宋体" w:hAnsi="宋体" w:eastAsia="宋体"/>
          <w:sz w:val="24"/>
          <w:szCs w:val="24"/>
        </w:rPr>
      </w:pPr>
      <w:r>
        <w:rPr>
          <w:rFonts w:hint="eastAsia" w:ascii="宋体" w:hAnsi="宋体" w:eastAsia="宋体"/>
          <w:sz w:val="24"/>
          <w:szCs w:val="24"/>
        </w:rPr>
        <w:t>【实验类型】基础性实验</w:t>
      </w:r>
    </w:p>
    <w:p>
      <w:pPr>
        <w:spacing w:line="360" w:lineRule="auto"/>
        <w:rPr>
          <w:rFonts w:ascii="宋体" w:hAnsi="宋体" w:eastAsia="宋体"/>
          <w:sz w:val="24"/>
          <w:szCs w:val="24"/>
        </w:rPr>
      </w:pPr>
      <w:r>
        <w:rPr>
          <w:rFonts w:hint="eastAsia" w:ascii="宋体" w:hAnsi="宋体" w:eastAsia="宋体"/>
          <w:sz w:val="24"/>
          <w:szCs w:val="24"/>
        </w:rPr>
        <w:t>【实验目标】</w:t>
      </w:r>
    </w:p>
    <w:p>
      <w:pPr>
        <w:spacing w:line="360" w:lineRule="auto"/>
        <w:ind w:firstLine="600" w:firstLineChars="250"/>
        <w:rPr>
          <w:rFonts w:ascii="宋体" w:hAnsi="宋体" w:eastAsia="宋体"/>
          <w:sz w:val="24"/>
          <w:szCs w:val="24"/>
        </w:rPr>
      </w:pPr>
      <w:r>
        <w:rPr>
          <w:rFonts w:hint="eastAsia" w:ascii="宋体" w:hAnsi="宋体" w:eastAsia="宋体"/>
          <w:sz w:val="24"/>
          <w:szCs w:val="24"/>
        </w:rPr>
        <w:t>掌握血涂片的制备方法、瑞氏染色原理和技术要点、外周血白细胞的种类及形态特征。</w:t>
      </w:r>
    </w:p>
    <w:p>
      <w:pPr>
        <w:spacing w:line="360" w:lineRule="auto"/>
        <w:rPr>
          <w:rFonts w:ascii="宋体" w:hAnsi="宋体" w:eastAsia="宋体"/>
          <w:sz w:val="24"/>
          <w:szCs w:val="24"/>
        </w:rPr>
      </w:pPr>
      <w:r>
        <w:rPr>
          <w:rFonts w:hint="eastAsia" w:ascii="宋体" w:hAnsi="宋体" w:eastAsia="宋体"/>
          <w:sz w:val="24"/>
          <w:szCs w:val="24"/>
        </w:rPr>
        <w:t>【实验内容】</w:t>
      </w:r>
    </w:p>
    <w:p>
      <w:pPr>
        <w:pStyle w:val="11"/>
        <w:numPr>
          <w:ilvl w:val="0"/>
          <w:numId w:val="1"/>
        </w:numPr>
        <w:spacing w:line="360" w:lineRule="auto"/>
        <w:ind w:firstLineChars="0"/>
        <w:rPr>
          <w:rFonts w:ascii="宋体" w:hAnsi="宋体" w:eastAsia="宋体"/>
          <w:sz w:val="24"/>
          <w:szCs w:val="24"/>
        </w:rPr>
      </w:pPr>
      <w:r>
        <w:rPr>
          <w:rFonts w:hint="eastAsia" w:ascii="宋体" w:hAnsi="宋体" w:eastAsia="宋体"/>
          <w:sz w:val="24"/>
          <w:szCs w:val="24"/>
        </w:rPr>
        <w:t>血涂片的制备；</w:t>
      </w:r>
    </w:p>
    <w:p>
      <w:pPr>
        <w:pStyle w:val="11"/>
        <w:numPr>
          <w:ilvl w:val="0"/>
          <w:numId w:val="1"/>
        </w:numPr>
        <w:spacing w:line="360" w:lineRule="auto"/>
        <w:ind w:firstLineChars="0"/>
        <w:rPr>
          <w:rFonts w:ascii="宋体" w:hAnsi="宋体" w:eastAsia="宋体"/>
          <w:sz w:val="24"/>
          <w:szCs w:val="24"/>
        </w:rPr>
      </w:pPr>
      <w:r>
        <w:rPr>
          <w:rFonts w:hint="eastAsia" w:ascii="宋体" w:hAnsi="宋体" w:eastAsia="宋体"/>
          <w:sz w:val="24"/>
          <w:szCs w:val="24"/>
        </w:rPr>
        <w:t>瑞氏染色</w:t>
      </w:r>
    </w:p>
    <w:p>
      <w:pPr>
        <w:spacing w:line="360" w:lineRule="auto"/>
        <w:rPr>
          <w:rFonts w:ascii="宋体" w:hAnsi="宋体" w:eastAsia="宋体"/>
          <w:sz w:val="24"/>
          <w:szCs w:val="24"/>
        </w:rPr>
      </w:pPr>
      <w:r>
        <w:rPr>
          <w:rFonts w:hint="eastAsia" w:ascii="宋体" w:hAnsi="宋体" w:eastAsia="宋体"/>
          <w:sz w:val="24"/>
          <w:szCs w:val="24"/>
        </w:rPr>
        <w:t>3. 辨认白细胞形态</w:t>
      </w:r>
    </w:p>
    <w:p>
      <w:pPr>
        <w:spacing w:line="360" w:lineRule="auto"/>
        <w:jc w:val="center"/>
        <w:rPr>
          <w:rFonts w:ascii="宋体" w:hAnsi="宋体" w:eastAsia="宋体"/>
          <w:b/>
          <w:bCs/>
          <w:sz w:val="24"/>
          <w:szCs w:val="24"/>
        </w:rPr>
      </w:pPr>
      <w:bookmarkStart w:id="7" w:name="_Hlk149574338"/>
      <w:r>
        <w:rPr>
          <w:rFonts w:hint="eastAsia" w:ascii="宋体" w:hAnsi="宋体" w:eastAsia="宋体"/>
          <w:b/>
          <w:bCs/>
          <w:sz w:val="24"/>
          <w:szCs w:val="24"/>
        </w:rPr>
        <w:t>3</w:t>
      </w:r>
      <w:r>
        <w:rPr>
          <w:rFonts w:ascii="宋体" w:hAnsi="宋体" w:eastAsia="宋体"/>
          <w:b/>
          <w:bCs/>
          <w:sz w:val="24"/>
          <w:szCs w:val="24"/>
        </w:rPr>
        <w:t>.</w:t>
      </w:r>
      <w:r>
        <w:rPr>
          <w:rFonts w:hint="eastAsia" w:ascii="宋体" w:hAnsi="宋体" w:eastAsia="宋体"/>
          <w:b/>
          <w:bCs/>
          <w:sz w:val="24"/>
          <w:szCs w:val="24"/>
        </w:rPr>
        <w:t>血液学及血液学检验（实践）</w:t>
      </w:r>
    </w:p>
    <w:p>
      <w:pPr>
        <w:spacing w:line="360" w:lineRule="auto"/>
        <w:rPr>
          <w:rFonts w:ascii="宋体" w:hAnsi="宋体" w:eastAsia="宋体"/>
          <w:sz w:val="24"/>
          <w:szCs w:val="24"/>
        </w:rPr>
      </w:pPr>
      <w:bookmarkStart w:id="8" w:name="_Hlk149725017"/>
      <w:r>
        <w:rPr>
          <w:rFonts w:hint="eastAsia" w:ascii="宋体" w:hAnsi="宋体" w:eastAsia="宋体"/>
          <w:sz w:val="24"/>
          <w:szCs w:val="24"/>
        </w:rPr>
        <w:t>①教学参考书：</w:t>
      </w:r>
      <w:bookmarkEnd w:id="7"/>
      <w:bookmarkEnd w:id="8"/>
    </w:p>
    <w:p>
      <w:pPr>
        <w:spacing w:line="360" w:lineRule="auto"/>
        <w:rPr>
          <w:rFonts w:ascii="宋体" w:hAnsi="宋体" w:eastAsia="宋体"/>
          <w:sz w:val="24"/>
          <w:szCs w:val="24"/>
        </w:rPr>
      </w:pPr>
      <w:r>
        <w:rPr>
          <w:rFonts w:hint="eastAsia" w:ascii="宋体" w:hAnsi="宋体" w:eastAsia="宋体"/>
          <w:sz w:val="24"/>
          <w:szCs w:val="24"/>
        </w:rPr>
        <w:t>夏薇，《临床血液学检验技术》，人民卫生出版社，2015年8月第1版</w:t>
      </w:r>
      <w:r>
        <w:rPr>
          <w:rFonts w:ascii="宋体" w:hAnsi="宋体" w:eastAsia="宋体"/>
          <w:sz w:val="24"/>
          <w:szCs w:val="24"/>
        </w:rPr>
        <w:t>。</w:t>
      </w:r>
    </w:p>
    <w:p>
      <w:pPr>
        <w:spacing w:line="360" w:lineRule="auto"/>
        <w:rPr>
          <w:rFonts w:ascii="宋体" w:hAnsi="宋体" w:eastAsia="宋体"/>
          <w:sz w:val="24"/>
          <w:szCs w:val="24"/>
        </w:rPr>
      </w:pPr>
      <w:bookmarkStart w:id="9" w:name="_Hlk149725054"/>
      <w:r>
        <w:rPr>
          <w:rFonts w:hint="eastAsia" w:ascii="宋体" w:hAnsi="宋体" w:eastAsia="宋体"/>
          <w:sz w:val="24"/>
          <w:szCs w:val="24"/>
        </w:rPr>
        <w:t>②实验考核内容：</w:t>
      </w:r>
      <w:bookmarkEnd w:id="9"/>
    </w:p>
    <w:p>
      <w:pPr>
        <w:spacing w:line="360" w:lineRule="auto"/>
        <w:rPr>
          <w:rFonts w:ascii="宋体" w:hAnsi="宋体" w:eastAsia="宋体"/>
          <w:sz w:val="24"/>
          <w:szCs w:val="24"/>
        </w:rPr>
      </w:pPr>
      <w:r>
        <w:rPr>
          <w:rFonts w:hint="eastAsia" w:ascii="宋体" w:hAnsi="宋体" w:eastAsia="宋体"/>
          <w:sz w:val="24"/>
          <w:szCs w:val="24"/>
        </w:rPr>
        <w:t>【实验名称】正常骨髓象分析</w:t>
      </w:r>
    </w:p>
    <w:p>
      <w:pPr>
        <w:spacing w:line="360" w:lineRule="auto"/>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rPr>
        <w:t>实验类型</w:t>
      </w:r>
      <w:r>
        <w:rPr>
          <w:rFonts w:ascii="宋体" w:hAnsi="宋体" w:eastAsia="宋体"/>
          <w:sz w:val="24"/>
          <w:szCs w:val="24"/>
        </w:rPr>
        <w:t>】</w:t>
      </w:r>
      <w:r>
        <w:rPr>
          <w:rFonts w:hint="eastAsia" w:ascii="宋体" w:hAnsi="宋体" w:eastAsia="宋体"/>
          <w:sz w:val="24"/>
          <w:szCs w:val="24"/>
        </w:rPr>
        <w:t>综合性</w:t>
      </w:r>
      <w:r>
        <w:rPr>
          <w:rFonts w:ascii="宋体" w:hAnsi="宋体" w:eastAsia="宋体"/>
          <w:sz w:val="24"/>
          <w:szCs w:val="24"/>
        </w:rPr>
        <w:t>实验</w:t>
      </w:r>
    </w:p>
    <w:p>
      <w:pPr>
        <w:spacing w:line="360" w:lineRule="auto"/>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rPr>
        <w:t>实验</w:t>
      </w:r>
      <w:r>
        <w:rPr>
          <w:rFonts w:ascii="宋体" w:hAnsi="宋体" w:eastAsia="宋体"/>
          <w:sz w:val="24"/>
          <w:szCs w:val="24"/>
        </w:rPr>
        <w:t>目标】</w:t>
      </w:r>
    </w:p>
    <w:p>
      <w:pPr>
        <w:spacing w:line="360" w:lineRule="auto"/>
        <w:rPr>
          <w:rFonts w:ascii="宋体" w:hAnsi="宋体" w:eastAsia="宋体"/>
          <w:sz w:val="24"/>
          <w:szCs w:val="24"/>
        </w:rPr>
      </w:pPr>
      <w:r>
        <w:rPr>
          <w:rFonts w:hint="eastAsia" w:ascii="宋体" w:hAnsi="宋体" w:eastAsia="宋体"/>
          <w:sz w:val="24"/>
          <w:szCs w:val="24"/>
        </w:rPr>
        <w:t>掌握正常骨髓象特征。</w:t>
      </w:r>
    </w:p>
    <w:p>
      <w:pPr>
        <w:spacing w:line="360" w:lineRule="auto"/>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rPr>
        <w:t>实验</w:t>
      </w:r>
      <w:r>
        <w:rPr>
          <w:rFonts w:ascii="宋体" w:hAnsi="宋体" w:eastAsia="宋体"/>
          <w:sz w:val="24"/>
          <w:szCs w:val="24"/>
        </w:rPr>
        <w:t>内容】</w:t>
      </w:r>
    </w:p>
    <w:p>
      <w:pPr>
        <w:spacing w:line="360" w:lineRule="auto"/>
        <w:rPr>
          <w:rFonts w:ascii="宋体" w:hAnsi="宋体" w:eastAsia="宋体"/>
          <w:sz w:val="24"/>
          <w:szCs w:val="24"/>
        </w:rPr>
      </w:pPr>
      <w:r>
        <w:rPr>
          <w:rFonts w:hint="eastAsia" w:ascii="宋体" w:hAnsi="宋体" w:eastAsia="宋体"/>
          <w:sz w:val="24"/>
          <w:szCs w:val="24"/>
        </w:rPr>
        <w:t xml:space="preserve"> 辨认正常骨髓象各系统各期血细胞的形态</w:t>
      </w:r>
    </w:p>
    <w:p>
      <w:pPr>
        <w:spacing w:line="360" w:lineRule="auto"/>
        <w:jc w:val="center"/>
        <w:rPr>
          <w:rFonts w:ascii="宋体" w:hAnsi="宋体" w:eastAsia="宋体"/>
          <w:b/>
          <w:bCs/>
          <w:sz w:val="24"/>
          <w:szCs w:val="24"/>
        </w:rPr>
      </w:pPr>
      <w:bookmarkStart w:id="10" w:name="_Hlk149575182"/>
      <w:r>
        <w:rPr>
          <w:rFonts w:hint="eastAsia" w:ascii="宋体" w:hAnsi="宋体" w:eastAsia="宋体"/>
          <w:b/>
          <w:bCs/>
          <w:sz w:val="24"/>
          <w:szCs w:val="24"/>
        </w:rPr>
        <w:t>4</w:t>
      </w:r>
      <w:r>
        <w:rPr>
          <w:rFonts w:ascii="宋体" w:hAnsi="宋体" w:eastAsia="宋体"/>
          <w:b/>
          <w:bCs/>
          <w:sz w:val="24"/>
          <w:szCs w:val="24"/>
        </w:rPr>
        <w:t>.</w:t>
      </w:r>
      <w:r>
        <w:rPr>
          <w:rFonts w:hint="eastAsia" w:ascii="宋体" w:hAnsi="宋体" w:eastAsia="宋体"/>
          <w:b/>
          <w:bCs/>
          <w:sz w:val="24"/>
          <w:szCs w:val="24"/>
        </w:rPr>
        <w:t>病原生物学及检验（实践）</w:t>
      </w:r>
    </w:p>
    <w:p>
      <w:pPr>
        <w:spacing w:line="360" w:lineRule="auto"/>
        <w:rPr>
          <w:rFonts w:ascii="宋体" w:hAnsi="宋体" w:eastAsia="宋体"/>
          <w:sz w:val="24"/>
          <w:szCs w:val="24"/>
        </w:rPr>
      </w:pPr>
      <w:bookmarkStart w:id="11" w:name="_Hlk149725090"/>
      <w:r>
        <w:rPr>
          <w:rFonts w:hint="eastAsia" w:ascii="宋体" w:hAnsi="宋体" w:eastAsia="宋体"/>
          <w:sz w:val="24"/>
          <w:szCs w:val="24"/>
        </w:rPr>
        <w:t>①教学参考书：</w:t>
      </w:r>
    </w:p>
    <w:bookmarkEnd w:id="10"/>
    <w:bookmarkEnd w:id="11"/>
    <w:p>
      <w:pPr>
        <w:spacing w:line="360" w:lineRule="auto"/>
        <w:rPr>
          <w:rFonts w:ascii="宋体" w:hAnsi="宋体" w:eastAsia="宋体"/>
          <w:sz w:val="24"/>
          <w:szCs w:val="24"/>
        </w:rPr>
      </w:pPr>
      <w:r>
        <w:rPr>
          <w:rFonts w:hint="eastAsia" w:ascii="宋体" w:hAnsi="宋体" w:eastAsia="宋体"/>
          <w:sz w:val="24"/>
          <w:szCs w:val="24"/>
        </w:rPr>
        <w:t>刘运德、楼永良，《临床微生物学检验技术》，人民卫生出版社.2017年10月第1版。</w:t>
      </w:r>
    </w:p>
    <w:p>
      <w:pPr>
        <w:spacing w:line="360" w:lineRule="auto"/>
        <w:rPr>
          <w:rFonts w:ascii="宋体" w:hAnsi="宋体" w:eastAsia="宋体"/>
          <w:sz w:val="24"/>
          <w:szCs w:val="24"/>
        </w:rPr>
      </w:pPr>
      <w:bookmarkStart w:id="12" w:name="_Hlk149725163"/>
      <w:r>
        <w:rPr>
          <w:rFonts w:hint="eastAsia" w:ascii="宋体" w:hAnsi="宋体" w:eastAsia="宋体"/>
          <w:sz w:val="24"/>
          <w:szCs w:val="24"/>
        </w:rPr>
        <w:t>②实验考核内容：</w:t>
      </w:r>
      <w:bookmarkEnd w:id="12"/>
    </w:p>
    <w:p>
      <w:pPr>
        <w:spacing w:line="360" w:lineRule="auto"/>
        <w:rPr>
          <w:rFonts w:ascii="宋体" w:hAnsi="宋体" w:eastAsia="宋体"/>
          <w:sz w:val="24"/>
          <w:szCs w:val="24"/>
        </w:rPr>
      </w:pPr>
      <w:r>
        <w:rPr>
          <w:rFonts w:hint="eastAsia" w:ascii="宋体" w:hAnsi="宋体" w:eastAsia="宋体"/>
          <w:sz w:val="24"/>
          <w:szCs w:val="24"/>
        </w:rPr>
        <w:t>【实验名称】细菌的基本形态及特殊结构观察</w:t>
      </w:r>
    </w:p>
    <w:p>
      <w:pPr>
        <w:spacing w:line="360" w:lineRule="auto"/>
        <w:rPr>
          <w:rFonts w:ascii="宋体" w:hAnsi="宋体" w:eastAsia="宋体"/>
          <w:sz w:val="24"/>
          <w:szCs w:val="24"/>
        </w:rPr>
      </w:pPr>
      <w:r>
        <w:rPr>
          <w:rFonts w:hint="eastAsia" w:ascii="宋体" w:hAnsi="宋体" w:eastAsia="宋体"/>
          <w:sz w:val="24"/>
          <w:szCs w:val="24"/>
        </w:rPr>
        <w:t>【实验类型】基础性实验</w:t>
      </w:r>
    </w:p>
    <w:p>
      <w:pPr>
        <w:spacing w:line="360" w:lineRule="auto"/>
        <w:rPr>
          <w:rFonts w:ascii="宋体" w:hAnsi="宋体" w:eastAsia="宋体"/>
          <w:sz w:val="24"/>
          <w:szCs w:val="24"/>
        </w:rPr>
      </w:pPr>
      <w:r>
        <w:rPr>
          <w:rFonts w:hint="eastAsia" w:ascii="宋体" w:hAnsi="宋体" w:eastAsia="宋体"/>
          <w:sz w:val="24"/>
          <w:szCs w:val="24"/>
        </w:rPr>
        <w:t>【实验目标】</w:t>
      </w:r>
    </w:p>
    <w:p>
      <w:pPr>
        <w:spacing w:line="360" w:lineRule="auto"/>
        <w:rPr>
          <w:rFonts w:ascii="宋体" w:hAnsi="宋体" w:eastAsia="宋体"/>
          <w:sz w:val="24"/>
          <w:szCs w:val="24"/>
        </w:rPr>
      </w:pPr>
      <w:r>
        <w:rPr>
          <w:rFonts w:ascii="宋体" w:hAnsi="宋体" w:eastAsia="宋体"/>
          <w:sz w:val="24"/>
          <w:szCs w:val="24"/>
        </w:rPr>
        <w:t xml:space="preserve">1. </w:t>
      </w:r>
      <w:r>
        <w:rPr>
          <w:rFonts w:hint="eastAsia" w:ascii="宋体" w:hAnsi="宋体" w:eastAsia="宋体"/>
          <w:sz w:val="24"/>
          <w:szCs w:val="24"/>
        </w:rPr>
        <w:t>本实验要求掌握菌落形态的观察与描述、普通光学显微镜下观察并描述革兰染色细菌形态及细菌特殊结构观察；</w:t>
      </w:r>
    </w:p>
    <w:p>
      <w:pPr>
        <w:spacing w:line="360" w:lineRule="auto"/>
        <w:rPr>
          <w:rFonts w:ascii="宋体" w:hAnsi="宋体" w:eastAsia="宋体"/>
          <w:sz w:val="24"/>
          <w:szCs w:val="24"/>
        </w:rPr>
      </w:pPr>
      <w:r>
        <w:rPr>
          <w:rFonts w:ascii="宋体" w:hAnsi="宋体" w:eastAsia="宋体"/>
          <w:sz w:val="24"/>
          <w:szCs w:val="24"/>
        </w:rPr>
        <w:t xml:space="preserve">2. </w:t>
      </w:r>
      <w:r>
        <w:rPr>
          <w:rFonts w:hint="eastAsia" w:ascii="宋体" w:hAnsi="宋体" w:eastAsia="宋体"/>
          <w:sz w:val="24"/>
          <w:szCs w:val="24"/>
        </w:rPr>
        <w:t>掌握革兰染色方法的原理、技术要点与意义。</w:t>
      </w:r>
    </w:p>
    <w:p>
      <w:pPr>
        <w:spacing w:line="360" w:lineRule="auto"/>
        <w:rPr>
          <w:rFonts w:ascii="宋体" w:hAnsi="宋体" w:eastAsia="宋体"/>
          <w:sz w:val="24"/>
          <w:szCs w:val="24"/>
        </w:rPr>
      </w:pPr>
      <w:r>
        <w:rPr>
          <w:rFonts w:hint="eastAsia" w:ascii="宋体" w:hAnsi="宋体" w:eastAsia="宋体"/>
          <w:sz w:val="24"/>
          <w:szCs w:val="24"/>
        </w:rPr>
        <w:t>【实验内容】</w:t>
      </w:r>
    </w:p>
    <w:p>
      <w:pPr>
        <w:spacing w:line="360" w:lineRule="auto"/>
        <w:rPr>
          <w:rFonts w:ascii="宋体" w:hAnsi="宋体" w:eastAsia="宋体"/>
          <w:sz w:val="24"/>
          <w:szCs w:val="24"/>
        </w:rPr>
      </w:pPr>
      <w:r>
        <w:rPr>
          <w:rFonts w:ascii="宋体" w:hAnsi="宋体" w:eastAsia="宋体"/>
          <w:sz w:val="24"/>
          <w:szCs w:val="24"/>
        </w:rPr>
        <w:t xml:space="preserve">1. </w:t>
      </w:r>
      <w:r>
        <w:rPr>
          <w:rFonts w:hint="eastAsia" w:ascii="宋体" w:hAnsi="宋体" w:eastAsia="宋体"/>
          <w:sz w:val="24"/>
          <w:szCs w:val="24"/>
        </w:rPr>
        <w:t>菌落形态观察与描述；</w:t>
      </w:r>
    </w:p>
    <w:p>
      <w:pPr>
        <w:spacing w:line="360" w:lineRule="auto"/>
        <w:rPr>
          <w:rFonts w:ascii="宋体" w:hAnsi="宋体" w:eastAsia="宋体"/>
          <w:sz w:val="24"/>
          <w:szCs w:val="24"/>
        </w:rPr>
      </w:pPr>
      <w:r>
        <w:rPr>
          <w:rFonts w:ascii="宋体" w:hAnsi="宋体" w:eastAsia="宋体"/>
          <w:sz w:val="24"/>
          <w:szCs w:val="24"/>
        </w:rPr>
        <w:t xml:space="preserve">2. </w:t>
      </w:r>
      <w:r>
        <w:rPr>
          <w:rFonts w:hint="eastAsia" w:ascii="宋体" w:hAnsi="宋体" w:eastAsia="宋体"/>
          <w:sz w:val="24"/>
          <w:szCs w:val="24"/>
        </w:rPr>
        <w:t>革兰染色</w:t>
      </w:r>
    </w:p>
    <w:p>
      <w:pPr>
        <w:spacing w:line="360" w:lineRule="auto"/>
        <w:rPr>
          <w:rFonts w:ascii="宋体" w:hAnsi="宋体" w:eastAsia="宋体"/>
          <w:sz w:val="24"/>
          <w:szCs w:val="24"/>
        </w:rPr>
      </w:pPr>
    </w:p>
    <w:p>
      <w:pPr>
        <w:spacing w:line="360" w:lineRule="auto"/>
        <w:jc w:val="center"/>
        <w:rPr>
          <w:rFonts w:ascii="宋体" w:hAnsi="宋体" w:eastAsia="宋体"/>
          <w:b/>
          <w:bCs/>
          <w:sz w:val="24"/>
          <w:szCs w:val="24"/>
        </w:rPr>
      </w:pPr>
      <w:r>
        <w:rPr>
          <w:rFonts w:hint="eastAsia" w:ascii="宋体" w:hAnsi="宋体" w:eastAsia="宋体"/>
          <w:b/>
          <w:bCs/>
          <w:sz w:val="24"/>
          <w:szCs w:val="24"/>
        </w:rPr>
        <w:t>5</w:t>
      </w:r>
      <w:r>
        <w:rPr>
          <w:rFonts w:ascii="宋体" w:hAnsi="宋体" w:eastAsia="宋体"/>
          <w:b/>
          <w:bCs/>
          <w:sz w:val="24"/>
          <w:szCs w:val="24"/>
        </w:rPr>
        <w:t>.</w:t>
      </w:r>
      <w:r>
        <w:rPr>
          <w:rFonts w:hint="eastAsia" w:ascii="宋体" w:hAnsi="宋体" w:eastAsia="宋体"/>
          <w:b/>
          <w:bCs/>
          <w:sz w:val="24"/>
          <w:szCs w:val="24"/>
        </w:rPr>
        <w:t>免疫学及免疫学检验（实践）</w:t>
      </w:r>
    </w:p>
    <w:p>
      <w:pPr>
        <w:spacing w:line="360" w:lineRule="auto"/>
        <w:rPr>
          <w:rFonts w:ascii="宋体" w:hAnsi="宋体" w:eastAsia="宋体"/>
          <w:sz w:val="24"/>
          <w:szCs w:val="24"/>
        </w:rPr>
      </w:pPr>
      <w:r>
        <w:rPr>
          <w:rFonts w:hint="eastAsia" w:ascii="宋体" w:hAnsi="宋体" w:eastAsia="宋体"/>
          <w:sz w:val="24"/>
          <w:szCs w:val="24"/>
        </w:rPr>
        <w:t>①教学参考书：</w:t>
      </w:r>
    </w:p>
    <w:p>
      <w:pPr>
        <w:spacing w:line="360" w:lineRule="auto"/>
        <w:rPr>
          <w:rFonts w:ascii="宋体" w:hAnsi="宋体" w:eastAsia="宋体"/>
          <w:sz w:val="24"/>
          <w:szCs w:val="24"/>
        </w:rPr>
      </w:pPr>
      <w:r>
        <w:rPr>
          <w:rFonts w:ascii="宋体" w:hAnsi="宋体" w:eastAsia="宋体"/>
          <w:sz w:val="24"/>
          <w:szCs w:val="24"/>
        </w:rPr>
        <w:t>李金明、刘辉，</w:t>
      </w:r>
      <w:r>
        <w:rPr>
          <w:rFonts w:hint="eastAsia" w:ascii="宋体" w:hAnsi="宋体" w:eastAsia="宋体"/>
          <w:sz w:val="24"/>
          <w:szCs w:val="24"/>
        </w:rPr>
        <w:t>《临床免疫学检验技术》</w:t>
      </w:r>
      <w:r>
        <w:rPr>
          <w:rFonts w:ascii="宋体" w:hAnsi="宋体" w:eastAsia="宋体"/>
          <w:sz w:val="24"/>
          <w:szCs w:val="24"/>
        </w:rPr>
        <w:t>，人民卫生出版社.2015年</w:t>
      </w:r>
      <w:r>
        <w:rPr>
          <w:rFonts w:hint="eastAsia" w:ascii="宋体" w:hAnsi="宋体" w:eastAsia="宋体"/>
          <w:sz w:val="24"/>
          <w:szCs w:val="24"/>
        </w:rPr>
        <w:t>1月第1版</w:t>
      </w:r>
    </w:p>
    <w:p>
      <w:pPr>
        <w:spacing w:line="360" w:lineRule="auto"/>
        <w:rPr>
          <w:rFonts w:ascii="宋体" w:hAnsi="宋体" w:eastAsia="宋体"/>
          <w:sz w:val="24"/>
          <w:szCs w:val="24"/>
        </w:rPr>
      </w:pPr>
      <w:r>
        <w:rPr>
          <w:rFonts w:hint="eastAsia" w:ascii="宋体" w:hAnsi="宋体" w:eastAsia="宋体"/>
          <w:sz w:val="24"/>
          <w:szCs w:val="24"/>
        </w:rPr>
        <w:t>②实验考核内容：</w:t>
      </w:r>
    </w:p>
    <w:p>
      <w:pPr>
        <w:spacing w:line="360" w:lineRule="auto"/>
        <w:rPr>
          <w:rFonts w:ascii="宋体" w:hAnsi="宋体" w:eastAsia="宋体"/>
          <w:sz w:val="24"/>
          <w:szCs w:val="24"/>
        </w:rPr>
      </w:pPr>
      <w:r>
        <w:rPr>
          <w:rFonts w:hint="eastAsia" w:ascii="宋体" w:hAnsi="宋体" w:eastAsia="宋体"/>
          <w:sz w:val="24"/>
          <w:szCs w:val="24"/>
        </w:rPr>
        <w:t>【实验名称】酶联免疫吸附试验（</w:t>
      </w:r>
      <w:r>
        <w:rPr>
          <w:rFonts w:ascii="宋体" w:hAnsi="宋体" w:eastAsia="宋体"/>
          <w:sz w:val="24"/>
          <w:szCs w:val="24"/>
        </w:rPr>
        <w:t>ELISA）</w:t>
      </w:r>
    </w:p>
    <w:p>
      <w:pPr>
        <w:spacing w:line="360" w:lineRule="auto"/>
        <w:rPr>
          <w:rFonts w:ascii="宋体" w:hAnsi="宋体" w:eastAsia="宋体"/>
          <w:sz w:val="24"/>
          <w:szCs w:val="24"/>
        </w:rPr>
      </w:pPr>
      <w:r>
        <w:rPr>
          <w:rFonts w:hint="eastAsia" w:ascii="宋体" w:hAnsi="宋体" w:eastAsia="宋体"/>
          <w:sz w:val="24"/>
          <w:szCs w:val="24"/>
        </w:rPr>
        <w:t>【实验类型】基础性实验</w:t>
      </w:r>
    </w:p>
    <w:p>
      <w:pPr>
        <w:spacing w:line="360" w:lineRule="auto"/>
        <w:rPr>
          <w:rFonts w:ascii="宋体" w:hAnsi="宋体" w:eastAsia="宋体"/>
          <w:sz w:val="24"/>
          <w:szCs w:val="24"/>
        </w:rPr>
      </w:pPr>
      <w:r>
        <w:rPr>
          <w:rFonts w:hint="eastAsia" w:ascii="宋体" w:hAnsi="宋体" w:eastAsia="宋体"/>
          <w:sz w:val="24"/>
          <w:szCs w:val="24"/>
        </w:rPr>
        <w:t>【实验目的】</w:t>
      </w:r>
    </w:p>
    <w:p>
      <w:pPr>
        <w:spacing w:line="360" w:lineRule="auto"/>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掌握</w:t>
      </w:r>
      <w:r>
        <w:rPr>
          <w:rFonts w:ascii="宋体" w:hAnsi="宋体" w:eastAsia="宋体"/>
          <w:sz w:val="24"/>
          <w:szCs w:val="24"/>
        </w:rPr>
        <w:t>ELISA</w:t>
      </w:r>
      <w:r>
        <w:rPr>
          <w:rFonts w:hint="eastAsia" w:ascii="宋体" w:hAnsi="宋体" w:eastAsia="宋体"/>
          <w:sz w:val="24"/>
          <w:szCs w:val="24"/>
        </w:rPr>
        <w:t>试验原理、结果判断和用途；</w:t>
      </w:r>
    </w:p>
    <w:p>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了解</w:t>
      </w:r>
      <w:r>
        <w:rPr>
          <w:rFonts w:ascii="宋体" w:hAnsi="宋体" w:eastAsia="宋体"/>
          <w:sz w:val="24"/>
          <w:szCs w:val="24"/>
        </w:rPr>
        <w:t>ELISA</w:t>
      </w:r>
      <w:r>
        <w:rPr>
          <w:rFonts w:hint="eastAsia" w:ascii="宋体" w:hAnsi="宋体" w:eastAsia="宋体"/>
          <w:sz w:val="24"/>
          <w:szCs w:val="24"/>
        </w:rPr>
        <w:t>试验的注意事项和方法学评价。</w:t>
      </w:r>
    </w:p>
    <w:p>
      <w:pPr>
        <w:widowControl/>
        <w:spacing w:line="360" w:lineRule="auto"/>
        <w:rPr>
          <w:rFonts w:ascii="Calibri" w:hAnsi="Calibri" w:eastAsia="宋体" w:cs="Times New Roman"/>
          <w:kern w:val="0"/>
          <w:sz w:val="24"/>
          <w:szCs w:val="24"/>
        </w:rPr>
      </w:pPr>
      <w:r>
        <w:rPr>
          <w:rFonts w:hint="eastAsia" w:ascii="宋体" w:hAnsi="宋体" w:eastAsia="宋体" w:cs="宋体"/>
          <w:b/>
          <w:kern w:val="0"/>
          <w:sz w:val="24"/>
          <w:szCs w:val="24"/>
        </w:rPr>
        <w:t>【</w:t>
      </w:r>
      <w:r>
        <w:rPr>
          <w:rFonts w:hint="eastAsia" w:ascii="宋体" w:hAnsi="宋体" w:eastAsia="宋体" w:cs="宋体"/>
          <w:kern w:val="0"/>
          <w:sz w:val="24"/>
          <w:szCs w:val="24"/>
        </w:rPr>
        <w:t>实验内容</w:t>
      </w:r>
      <w:r>
        <w:rPr>
          <w:rFonts w:hint="eastAsia" w:ascii="宋体" w:hAnsi="宋体" w:eastAsia="宋体" w:cs="宋体"/>
          <w:b/>
          <w:kern w:val="0"/>
          <w:sz w:val="24"/>
          <w:szCs w:val="24"/>
        </w:rPr>
        <w:t>】</w:t>
      </w:r>
    </w:p>
    <w:p>
      <w:pPr>
        <w:widowControl/>
        <w:spacing w:line="360" w:lineRule="auto"/>
        <w:rPr>
          <w:rFonts w:ascii="Calibri" w:hAnsi="Calibri" w:eastAsia="宋体" w:cs="Times New Roman"/>
          <w:kern w:val="0"/>
          <w:sz w:val="24"/>
          <w:szCs w:val="24"/>
        </w:rPr>
      </w:pPr>
      <w:r>
        <w:rPr>
          <w:rFonts w:ascii="宋体" w:hAnsi="宋体" w:eastAsia="宋体" w:cs="宋体"/>
          <w:kern w:val="0"/>
          <w:sz w:val="24"/>
          <w:szCs w:val="24"/>
        </w:rPr>
        <w:t>1.</w:t>
      </w:r>
      <w:r>
        <w:rPr>
          <w:rFonts w:ascii="Times New Roman" w:hAnsi="Times New Roman" w:eastAsia="宋体" w:cs="Times New Roman"/>
          <w:kern w:val="0"/>
          <w:sz w:val="24"/>
          <w:szCs w:val="24"/>
        </w:rPr>
        <w:t>ELISA</w:t>
      </w:r>
      <w:r>
        <w:rPr>
          <w:rFonts w:hint="eastAsia" w:ascii="宋体" w:hAnsi="宋体" w:eastAsia="宋体" w:cs="宋体"/>
          <w:kern w:val="0"/>
          <w:sz w:val="24"/>
          <w:szCs w:val="24"/>
        </w:rPr>
        <w:t>双抗体夹心法的操作步骤；</w:t>
      </w:r>
    </w:p>
    <w:p>
      <w:pPr>
        <w:widowControl/>
        <w:spacing w:line="360" w:lineRule="auto"/>
        <w:rPr>
          <w:rFonts w:ascii="Calibri" w:hAnsi="Calibri" w:eastAsia="宋体" w:cs="Times New Roman"/>
          <w:kern w:val="0"/>
          <w:sz w:val="24"/>
          <w:szCs w:val="24"/>
        </w:rPr>
      </w:pPr>
      <w:r>
        <w:rPr>
          <w:rFonts w:ascii="宋体" w:hAnsi="宋体" w:eastAsia="宋体" w:cs="宋体"/>
          <w:kern w:val="0"/>
          <w:sz w:val="24"/>
          <w:szCs w:val="24"/>
        </w:rPr>
        <w:t>2.</w:t>
      </w:r>
      <w:r>
        <w:rPr>
          <w:rFonts w:hint="eastAsia" w:ascii="宋体" w:hAnsi="宋体" w:eastAsia="宋体" w:cs="宋体"/>
          <w:kern w:val="0"/>
          <w:sz w:val="24"/>
          <w:szCs w:val="24"/>
        </w:rPr>
        <w:t>酶联免疫吸附试验的影响因素。</w:t>
      </w:r>
    </w:p>
    <w:p>
      <w:pPr>
        <w:spacing w:line="360" w:lineRule="auto"/>
        <w:jc w:val="center"/>
        <w:rPr>
          <w:rFonts w:ascii="宋体" w:hAnsi="宋体" w:eastAsia="宋体" w:cs="Times New Roman"/>
          <w:b/>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E22856"/>
    <w:multiLevelType w:val="multilevel"/>
    <w:tmpl w:val="5FE228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3C4D"/>
    <w:rsid w:val="00030EAC"/>
    <w:rsid w:val="00045784"/>
    <w:rsid w:val="00046F9B"/>
    <w:rsid w:val="0007609B"/>
    <w:rsid w:val="00093D94"/>
    <w:rsid w:val="0009719F"/>
    <w:rsid w:val="000A4191"/>
    <w:rsid w:val="000C4DD3"/>
    <w:rsid w:val="000E397F"/>
    <w:rsid w:val="000E7F39"/>
    <w:rsid w:val="000F4548"/>
    <w:rsid w:val="00100F49"/>
    <w:rsid w:val="00106A9E"/>
    <w:rsid w:val="00106D71"/>
    <w:rsid w:val="00112519"/>
    <w:rsid w:val="00112B5C"/>
    <w:rsid w:val="00126AD1"/>
    <w:rsid w:val="001270FB"/>
    <w:rsid w:val="001317BA"/>
    <w:rsid w:val="0013549B"/>
    <w:rsid w:val="0014008D"/>
    <w:rsid w:val="001408DF"/>
    <w:rsid w:val="00141B78"/>
    <w:rsid w:val="00173C59"/>
    <w:rsid w:val="00177572"/>
    <w:rsid w:val="001A7907"/>
    <w:rsid w:val="001B1622"/>
    <w:rsid w:val="001B1735"/>
    <w:rsid w:val="001C4650"/>
    <w:rsid w:val="001C6ECA"/>
    <w:rsid w:val="001D59EA"/>
    <w:rsid w:val="001D79CC"/>
    <w:rsid w:val="001E1FF6"/>
    <w:rsid w:val="001E39A0"/>
    <w:rsid w:val="001F3869"/>
    <w:rsid w:val="001F600B"/>
    <w:rsid w:val="00203124"/>
    <w:rsid w:val="00207BDA"/>
    <w:rsid w:val="00224274"/>
    <w:rsid w:val="00231099"/>
    <w:rsid w:val="00232300"/>
    <w:rsid w:val="0023323C"/>
    <w:rsid w:val="002348CB"/>
    <w:rsid w:val="00237A18"/>
    <w:rsid w:val="00237B7E"/>
    <w:rsid w:val="00264577"/>
    <w:rsid w:val="002655EC"/>
    <w:rsid w:val="002B3906"/>
    <w:rsid w:val="002C27BC"/>
    <w:rsid w:val="002C2CC1"/>
    <w:rsid w:val="002D7D55"/>
    <w:rsid w:val="002E0796"/>
    <w:rsid w:val="002E152E"/>
    <w:rsid w:val="002E1D20"/>
    <w:rsid w:val="002E65B9"/>
    <w:rsid w:val="002F5FC9"/>
    <w:rsid w:val="00312269"/>
    <w:rsid w:val="00317F99"/>
    <w:rsid w:val="00320D2D"/>
    <w:rsid w:val="00322031"/>
    <w:rsid w:val="00333B54"/>
    <w:rsid w:val="00333E90"/>
    <w:rsid w:val="003737B2"/>
    <w:rsid w:val="00377C87"/>
    <w:rsid w:val="00382312"/>
    <w:rsid w:val="00385C20"/>
    <w:rsid w:val="003922EE"/>
    <w:rsid w:val="003B0C1C"/>
    <w:rsid w:val="003B3410"/>
    <w:rsid w:val="003C3013"/>
    <w:rsid w:val="003C6021"/>
    <w:rsid w:val="003D1B9B"/>
    <w:rsid w:val="003D2E22"/>
    <w:rsid w:val="003F6A96"/>
    <w:rsid w:val="00425DB6"/>
    <w:rsid w:val="00431EE3"/>
    <w:rsid w:val="00445405"/>
    <w:rsid w:val="004458AC"/>
    <w:rsid w:val="0045184A"/>
    <w:rsid w:val="004557B2"/>
    <w:rsid w:val="00490612"/>
    <w:rsid w:val="004A3AD3"/>
    <w:rsid w:val="004A3C4D"/>
    <w:rsid w:val="004D5BD1"/>
    <w:rsid w:val="005105CE"/>
    <w:rsid w:val="005207FA"/>
    <w:rsid w:val="00540383"/>
    <w:rsid w:val="005620F0"/>
    <w:rsid w:val="00567191"/>
    <w:rsid w:val="00571160"/>
    <w:rsid w:val="005771E8"/>
    <w:rsid w:val="0059558A"/>
    <w:rsid w:val="005E1C59"/>
    <w:rsid w:val="005E2069"/>
    <w:rsid w:val="005E6261"/>
    <w:rsid w:val="005F5638"/>
    <w:rsid w:val="00607510"/>
    <w:rsid w:val="00613036"/>
    <w:rsid w:val="00613B9E"/>
    <w:rsid w:val="0063628F"/>
    <w:rsid w:val="006419C9"/>
    <w:rsid w:val="00652544"/>
    <w:rsid w:val="00661483"/>
    <w:rsid w:val="0069388D"/>
    <w:rsid w:val="006970B5"/>
    <w:rsid w:val="006B17ED"/>
    <w:rsid w:val="006B1D27"/>
    <w:rsid w:val="006B28A6"/>
    <w:rsid w:val="006D534C"/>
    <w:rsid w:val="006E242A"/>
    <w:rsid w:val="006E5FAE"/>
    <w:rsid w:val="00700C10"/>
    <w:rsid w:val="00704D94"/>
    <w:rsid w:val="007123B1"/>
    <w:rsid w:val="007237ED"/>
    <w:rsid w:val="007263A9"/>
    <w:rsid w:val="00762956"/>
    <w:rsid w:val="0077754B"/>
    <w:rsid w:val="007A143E"/>
    <w:rsid w:val="007E179C"/>
    <w:rsid w:val="008175CF"/>
    <w:rsid w:val="00826B28"/>
    <w:rsid w:val="008563DF"/>
    <w:rsid w:val="00866C4F"/>
    <w:rsid w:val="008754F5"/>
    <w:rsid w:val="00875591"/>
    <w:rsid w:val="00880AF4"/>
    <w:rsid w:val="00885DF2"/>
    <w:rsid w:val="008A2933"/>
    <w:rsid w:val="008B7B72"/>
    <w:rsid w:val="008C42F5"/>
    <w:rsid w:val="008D6701"/>
    <w:rsid w:val="00903C7B"/>
    <w:rsid w:val="00904CC5"/>
    <w:rsid w:val="0091260A"/>
    <w:rsid w:val="00944423"/>
    <w:rsid w:val="009531B7"/>
    <w:rsid w:val="00954F50"/>
    <w:rsid w:val="009708FC"/>
    <w:rsid w:val="00971848"/>
    <w:rsid w:val="00994E72"/>
    <w:rsid w:val="009A77A7"/>
    <w:rsid w:val="009B3B5A"/>
    <w:rsid w:val="009B452A"/>
    <w:rsid w:val="009C4D4C"/>
    <w:rsid w:val="009C555D"/>
    <w:rsid w:val="009D3742"/>
    <w:rsid w:val="009D4A8C"/>
    <w:rsid w:val="009F3177"/>
    <w:rsid w:val="00A0376D"/>
    <w:rsid w:val="00A119A3"/>
    <w:rsid w:val="00A94757"/>
    <w:rsid w:val="00AC2EBC"/>
    <w:rsid w:val="00AD344B"/>
    <w:rsid w:val="00AD62AF"/>
    <w:rsid w:val="00B00AF2"/>
    <w:rsid w:val="00B510FD"/>
    <w:rsid w:val="00B73391"/>
    <w:rsid w:val="00B759DA"/>
    <w:rsid w:val="00BA5ADB"/>
    <w:rsid w:val="00BA6A9A"/>
    <w:rsid w:val="00BB6506"/>
    <w:rsid w:val="00C23445"/>
    <w:rsid w:val="00C518D8"/>
    <w:rsid w:val="00C93160"/>
    <w:rsid w:val="00CA5751"/>
    <w:rsid w:val="00CB20AD"/>
    <w:rsid w:val="00CB5D4D"/>
    <w:rsid w:val="00CC6FDF"/>
    <w:rsid w:val="00D467E2"/>
    <w:rsid w:val="00D7214C"/>
    <w:rsid w:val="00D84FFF"/>
    <w:rsid w:val="00D93E16"/>
    <w:rsid w:val="00DB4895"/>
    <w:rsid w:val="00DC4EE8"/>
    <w:rsid w:val="00DD0B6E"/>
    <w:rsid w:val="00DF6DE2"/>
    <w:rsid w:val="00E051EF"/>
    <w:rsid w:val="00E201B8"/>
    <w:rsid w:val="00E219F9"/>
    <w:rsid w:val="00E278CA"/>
    <w:rsid w:val="00E4038A"/>
    <w:rsid w:val="00E40854"/>
    <w:rsid w:val="00E46E5C"/>
    <w:rsid w:val="00E563D5"/>
    <w:rsid w:val="00E673C3"/>
    <w:rsid w:val="00E71DE9"/>
    <w:rsid w:val="00E9629F"/>
    <w:rsid w:val="00EB3317"/>
    <w:rsid w:val="00EB4D47"/>
    <w:rsid w:val="00F01ACB"/>
    <w:rsid w:val="00F101B3"/>
    <w:rsid w:val="00F11A18"/>
    <w:rsid w:val="00F121CE"/>
    <w:rsid w:val="00F241CD"/>
    <w:rsid w:val="00F31085"/>
    <w:rsid w:val="00F35175"/>
    <w:rsid w:val="00F46702"/>
    <w:rsid w:val="00F6212C"/>
    <w:rsid w:val="00F7171C"/>
    <w:rsid w:val="00F72574"/>
    <w:rsid w:val="00F73262"/>
    <w:rsid w:val="00F804F1"/>
    <w:rsid w:val="00FA2C0D"/>
    <w:rsid w:val="00FB2FA5"/>
    <w:rsid w:val="00FB4BAD"/>
    <w:rsid w:val="00FB7998"/>
    <w:rsid w:val="00FC6593"/>
    <w:rsid w:val="00FC759E"/>
    <w:rsid w:val="00FD62D7"/>
    <w:rsid w:val="00FE0939"/>
    <w:rsid w:val="00FE1DAB"/>
    <w:rsid w:val="04E45D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3"/>
    <w:unhideWhenUsed/>
    <w:uiPriority w:val="99"/>
    <w:pPr>
      <w:tabs>
        <w:tab w:val="center" w:pos="4153"/>
        <w:tab w:val="right" w:pos="8306"/>
      </w:tabs>
      <w:snapToGrid w:val="0"/>
      <w:jc w:val="left"/>
    </w:pPr>
    <w:rPr>
      <w:sz w:val="18"/>
      <w:szCs w:val="18"/>
    </w:rPr>
  </w:style>
  <w:style w:type="paragraph" w:styleId="3">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网格型1"/>
    <w:basedOn w:val="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
    <w:name w:val="网格型2"/>
    <w:basedOn w:val="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网格型3"/>
    <w:basedOn w:val="5"/>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ind w:firstLine="420" w:firstLineChars="200"/>
    </w:pPr>
  </w:style>
  <w:style w:type="character" w:customStyle="1" w:styleId="12">
    <w:name w:val="页眉 字符"/>
    <w:basedOn w:val="7"/>
    <w:link w:val="3"/>
    <w:uiPriority w:val="99"/>
    <w:rPr>
      <w:sz w:val="18"/>
      <w:szCs w:val="18"/>
    </w:rPr>
  </w:style>
  <w:style w:type="character" w:customStyle="1" w:styleId="13">
    <w:name w:val="页脚 字符"/>
    <w:basedOn w:val="7"/>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219</Words>
  <Characters>1252</Characters>
  <Lines>10</Lines>
  <Paragraphs>2</Paragraphs>
  <TotalTime>187</TotalTime>
  <ScaleCrop>false</ScaleCrop>
  <LinksUpToDate>false</LinksUpToDate>
  <CharactersWithSpaces>1469</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2023-10-30T06:42:00Z</dcterms:created>
  <dc:creator>蔡传斌</dc:creator>
  <cp:lastModifiedBy>gao qian</cp:lastModifiedBy>
  <dcterms:modified xsi:type="dcterms:W3CDTF">2024-01-16T03:32:07Z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ies>
</file>